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288"/>
        <w:jc w:val="both"/>
        <w:textAlignment w:val="baseline"/>
        <w:rPr>
          <w:rFonts w:ascii="Arial" w:hAnsi="Arial" w:cs="Arial"/>
          <w:b/>
          <w:b/>
          <w:bCs/>
          <w:sz w:val="24"/>
          <w:szCs w:val="24"/>
        </w:rPr>
      </w:pPr>
      <w:r>
        <w:rPr>
          <w:rFonts w:cs="Arial" w:ascii="Arial" w:hAnsi="Arial"/>
          <w:b/>
          <w:bCs/>
          <w:sz w:val="24"/>
          <w:szCs w:val="24"/>
        </w:rPr>
        <w:t xml:space="preserve">PREGÃO ELETRÔNICO Nº 3/2023.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CONTRATO ADMINISTRATIVO Nº 35/2023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JOMMAR COMÉRCIO E SERVIÇOS LTDA</w:t>
      </w:r>
      <w:r>
        <w:rPr>
          <w:rFonts w:cs="Arial" w:ascii="Arial" w:hAnsi="Arial"/>
          <w:bCs/>
          <w:sz w:val="24"/>
          <w:szCs w:val="24"/>
        </w:rPr>
        <w:t xml:space="preserve">, inscrita no CNPJ sob o nº 48.365.216/0001-87, com sede na cidade de Peruíbe, na RUA JAÇANA, </w:t>
      </w:r>
      <w:r>
        <w:rPr>
          <w:rFonts w:cs="Arial" w:ascii="Arial" w:hAnsi="Arial"/>
          <w:bCs/>
          <w:sz w:val="24"/>
          <w:szCs w:val="24"/>
        </w:rPr>
        <w:t>s/</w:t>
      </w:r>
      <w:r>
        <w:rPr>
          <w:rFonts w:cs="Arial" w:ascii="Arial" w:hAnsi="Arial"/>
          <w:bCs/>
          <w:sz w:val="24"/>
          <w:szCs w:val="24"/>
        </w:rPr>
        <w:t xml:space="preserve">nº, Bairro CENTRO, neste ato representada por </w:t>
      </w:r>
      <w:r>
        <w:rPr>
          <w:rFonts w:cs="Arial" w:ascii="Arial" w:hAnsi="Arial"/>
          <w:b/>
          <w:bCs/>
          <w:sz w:val="24"/>
          <w:szCs w:val="24"/>
        </w:rPr>
        <w:t>STEFANY CARDOSO VASQUES DE SOUZA</w:t>
      </w:r>
      <w:r>
        <w:rPr>
          <w:rFonts w:cs="Arial" w:ascii="Arial" w:hAnsi="Arial"/>
          <w:bCs/>
          <w:sz w:val="24"/>
          <w:szCs w:val="24"/>
        </w:rPr>
        <w:t>, CPF nº 427.435.478-47, RG nº  , expedida por SSP/PR, doravante designada CONTRATADA, têm justo e contratado entre si, em decorrência do PREGÃO ELETRÔNICO Nº 3</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a CONTRATAÇÃO DE EMPRESA PARA PRESTAÇÃO DE SERVIÇOS CONTINUADOS DE MANUTENÇÃO PREVENTIVA E CORRETIVA EM APARELHOS DE AR CONDICIONADO.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3</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R$ 44.990,00 </w:t>
      </w:r>
      <w:r>
        <w:rPr>
          <w:rFonts w:cs="Arial" w:ascii="Arial" w:hAnsi="Arial"/>
          <w:bCs/>
          <w:sz w:val="24"/>
          <w:szCs w:val="24"/>
        </w:rPr>
        <w:t>(quarenta e quatro mil novecentos e noventa reais)</w:t>
      </w:r>
      <w:r>
        <w:rPr>
          <w:rFonts w:cs="Arial" w:ascii="Arial" w:hAnsi="Arial"/>
          <w:bCs/>
          <w:sz w:val="24"/>
          <w:szCs w:val="24"/>
        </w:rPr>
        <w:t>, referente aos itens do PREGÃO ELETRÔNICO Nº 3</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SEM MARCA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HIGIENIZAÇÃO E RECARGA DE GÁS EM APARELHOS DE AR CONDICIONADO DE 7.000 BTUS A 24.000 BTUS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300,40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40.854,40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SEM MARCA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HIGIENIZAÇÃO E RECARGA DE GÁS EM APARELHOS DE AR CONDICIONADO DE 32.000 BTUS A 38.000 BTUS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371,80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1.487,20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SEM MARCA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HIGIENIZAÇÃO E RECARGA DE GÁS EM APARELHOS DE AR CONDICIONADO DE 48.000 BTUS A 60.000 BTUS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441,40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2.648,40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CISOP, no endereço à Avenida Brasil, nº 11.368, bairro FAG, na cidade de Cascavel - PR, em data e horário a ser definido pelo setor responsável do CISOP.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4.3 -</w:t>
      </w:r>
      <w:r>
        <w:rPr>
          <w:rFonts w:cs="Arial" w:ascii="Arial" w:hAnsi="Arial"/>
          <w:bCs/>
          <w:sz w:val="24"/>
          <w:szCs w:val="24"/>
        </w:rPr>
        <w:t xml:space="preserve"> A empresa licitante vencedora ficará obrigada a trocar, às suas ex-pensas, oS serviços que vier a ser recusado, no prazo de 24 (vinte e quatro) horas, a contar do recebimento, bem como danos causados ao CISOP, ocasionado na prestação dos serviços, sen-do que o ato do recebimento não importará a sua aceitação.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4.6 -</w:t>
      </w:r>
      <w:r>
        <w:rPr>
          <w:rFonts w:cs="Arial" w:ascii="Arial" w:hAnsi="Arial"/>
          <w:bCs/>
          <w:sz w:val="24"/>
          <w:szCs w:val="24"/>
        </w:rPr>
        <w:t xml:space="preserve"> 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4.7 -</w:t>
      </w:r>
      <w:r>
        <w:rPr>
          <w:rFonts w:cs="Arial" w:ascii="Arial" w:hAnsi="Arial"/>
          <w:bCs/>
          <w:sz w:val="24"/>
          <w:szCs w:val="24"/>
        </w:rPr>
        <w:t xml:space="preserve"> Os serviços a serem entregues, quando da contratação, deverão cor-responder às especificações da proposta, em total consonância com 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 CISOP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4.13 -</w:t>
      </w:r>
      <w:r>
        <w:rPr>
          <w:rFonts w:cs="Arial" w:ascii="Arial" w:hAnsi="Arial"/>
          <w:bCs/>
          <w:sz w:val="24"/>
          <w:szCs w:val="24"/>
        </w:rPr>
        <w:t xml:space="preserve"> A Contratada, mesmo não sendo a fabricante dos produtos usados na prestação dos serviços,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4.14 -</w:t>
      </w:r>
      <w:r>
        <w:rPr>
          <w:rFonts w:cs="Arial" w:ascii="Arial" w:hAnsi="Arial"/>
          <w:bCs/>
          <w:sz w:val="24"/>
          <w:szCs w:val="24"/>
        </w:rPr>
        <w:t xml:space="preserve"> A empresa licitante vencedora deverá entregar o serviço licitado em total conformidade com 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09 de fevereiro de 2023 a 09 de fevereiro de 2024, podendo ser prorrogado mediante termo aditivo, nos termos do artigo 57, II da Lei nº 8.666/93, pelo prazo de até 60 (sessenta) meses.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O valor poderá ser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6.3 -</w:t>
      </w:r>
      <w:r>
        <w:rPr>
          <w:rFonts w:cs="Arial" w:ascii="Arial" w:hAnsi="Arial"/>
          <w:bCs/>
          <w:sz w:val="24"/>
          <w:szCs w:val="24"/>
        </w:rPr>
        <w:t xml:space="preserve"> Os preços propostos não serão reajustados durante o período de vigência do Contrato salvo, se ocorrerem algumas das hipóteses do Artigo 65 da Lei nº 8.666/93 e suas alterações, sendo que toda solicitação será analisada pelo setor de licitações e pelo setor jurídico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6.4 -</w:t>
      </w:r>
      <w:r>
        <w:rPr>
          <w:rFonts w:cs="Arial" w:ascii="Arial" w:hAnsi="Arial"/>
          <w:bCs/>
          <w:sz w:val="24"/>
          <w:szCs w:val="24"/>
        </w:rPr>
        <w:t xml:space="preserve">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6.5.1 - </w:t>
      </w:r>
      <w:r>
        <w:rPr>
          <w:rFonts w:cs="Arial" w:ascii="Arial" w:hAnsi="Arial"/>
          <w:bCs/>
          <w:sz w:val="24"/>
          <w:szCs w:val="24"/>
        </w:rPr>
        <w:t xml:space="preserve">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6.10 -</w:t>
      </w:r>
      <w:r>
        <w:rPr>
          <w:rFonts w:cs="Arial" w:ascii="Arial" w:hAnsi="Arial"/>
          <w:bCs/>
          <w:sz w:val="24"/>
          <w:szCs w:val="24"/>
        </w:rPr>
        <w:t xml:space="preserve"> 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6.11 -</w:t>
      </w:r>
      <w:r>
        <w:rPr>
          <w:rFonts w:cs="Arial" w:ascii="Arial" w:hAnsi="Arial"/>
          <w:bCs/>
          <w:sz w:val="24"/>
          <w:szCs w:val="24"/>
        </w:rP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6.13 - </w:t>
      </w:r>
      <w:r>
        <w:rPr>
          <w:rFonts w:cs="Arial" w:ascii="Arial" w:hAnsi="Arial"/>
          <w:bCs/>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6.14 -</w:t>
      </w:r>
      <w:r>
        <w:rPr>
          <w:rFonts w:cs="Arial" w:ascii="Arial" w:hAnsi="Arial"/>
          <w:bCs/>
          <w:sz w:val="24"/>
          <w:szCs w:val="24"/>
        </w:rPr>
        <w:t xml:space="preserve">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 xml:space="preserve">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6.16 -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57"/>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3.3.90.39.17.00</w:t>
        <w:tab/>
        <w:t>MANUTENÇÃO E CONSERVAÇÃO DE MÁQUINAS E EQUIPAMENTOS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Prestar os serviços ao CISOP, no endereço à Avenida Brasil, nº 11.368, fundos, bairro FAG, na cidade de Cascavel - PR, em data e horário a ser definido pelo setor responsável pelo acompanhamento dos serviços, correndo por conta da contratada todas as despesas de embalagem, seguros, transporte, tributos, encargos trabalhistas e previdenciários, decorrentes do fornecimento,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 </w:t>
      </w:r>
      <w:r>
        <w:rPr>
          <w:rFonts w:cs="Arial" w:ascii="Arial" w:hAnsi="Arial"/>
          <w:bCs/>
          <w:sz w:val="24"/>
          <w:szCs w:val="24"/>
        </w:rPr>
        <w:t>Responsabilizar-se integralmente pelos serviços,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Assumir inteira responsabilidade quanto à garantia e qualidade dos serviços, reservando ao CISOP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8.1.4 - </w:t>
      </w:r>
      <w:r>
        <w:rPr>
          <w:rFonts w:cs="Arial" w:ascii="Arial" w:hAnsi="Arial"/>
          <w:bCs/>
          <w:sz w:val="24"/>
          <w:szCs w:val="24"/>
        </w:rPr>
        <w:t>Responder direta e exclusivamente pela execução do contrato, não podendo, em nenhuma hipótese, transferir a responsabilidade pelo fornecimento dos serviços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Efetuar a troca dos serviços considerado impróprio no prazo máximo de 24 (vinte e quatro) horas, contado do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8.1.6 -</w:t>
      </w:r>
      <w:r>
        <w:rPr>
          <w:rFonts w:cs="Arial" w:ascii="Arial" w:hAnsi="Arial"/>
          <w:bCs/>
          <w:sz w:val="24"/>
          <w:szCs w:val="24"/>
        </w:rPr>
        <w:t xml:space="preserve">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8.1.7 - </w:t>
      </w:r>
      <w:r>
        <w:rPr>
          <w:rFonts w:cs="Arial" w:ascii="Arial" w:hAnsi="Arial"/>
          <w:bCs/>
          <w:sz w:val="24"/>
          <w:szCs w:val="24"/>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8.1.9 -</w:t>
      </w:r>
      <w:r>
        <w:rPr>
          <w:rFonts w:cs="Arial" w:ascii="Arial" w:hAnsi="Arial"/>
          <w:bCs/>
          <w:sz w:val="24"/>
          <w:szCs w:val="24"/>
        </w:rPr>
        <w:t xml:space="preserve">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8.1.11 -</w:t>
      </w:r>
      <w:r>
        <w:rPr>
          <w:rFonts w:cs="Arial" w:ascii="Arial" w:hAnsi="Arial"/>
          <w:bCs/>
          <w:sz w:val="24"/>
          <w:szCs w:val="24"/>
        </w:rPr>
        <w:t xml:space="preserve"> Pelo acompanhamento das operações no sistema eletrônico duran-te a sessão pública do pregão eletrônico, ficando responsável pelo ônus decorrente da perda de negócios diante da inobservância de quaisquer mensagens emitidas pelo sistema ou de sua desconexão;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8.1.12 -</w:t>
      </w:r>
      <w:r>
        <w:rPr>
          <w:rFonts w:cs="Arial" w:ascii="Arial" w:hAnsi="Arial"/>
          <w:bCs/>
          <w:sz w:val="24"/>
          <w:szCs w:val="24"/>
        </w:rPr>
        <w:t xml:space="preserve">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8.1.13 -</w:t>
      </w:r>
      <w:r>
        <w:rPr>
          <w:rFonts w:cs="Arial" w:ascii="Arial" w:hAnsi="Arial"/>
          <w:bCs/>
          <w:sz w:val="24"/>
          <w:szCs w:val="24"/>
        </w:rPr>
        <w:t xml:space="preserve">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8.1.14 - </w:t>
      </w:r>
      <w:r>
        <w:rPr>
          <w:rFonts w:cs="Arial" w:ascii="Arial" w:hAnsi="Arial"/>
          <w:bCs/>
          <w:sz w:val="24"/>
          <w:szCs w:val="24"/>
        </w:rPr>
        <w:t xml:space="preserve">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8.1.16 -</w:t>
      </w:r>
      <w:r>
        <w:rPr>
          <w:rFonts w:cs="Arial" w:ascii="Arial" w:hAnsi="Arial"/>
          <w:bCs/>
          <w:sz w:val="24"/>
          <w:szCs w:val="24"/>
        </w:rPr>
        <w:t xml:space="preserve"> 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8.1.17 - </w:t>
      </w:r>
      <w:r>
        <w:rPr>
          <w:rFonts w:cs="Arial" w:ascii="Arial" w:hAnsi="Arial"/>
          <w:bCs/>
          <w:sz w:val="24"/>
          <w:szCs w:val="24"/>
        </w:rPr>
        <w:t>Responsabilizar-se, às suas expensas, pelo transporte dos materiais e entregá-los/descarregá-los, no local indicado pelo solicitante, sem nenhum custo oneroso para Administração em relação à entrega dos mesmos.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8.1.18 -</w:t>
      </w:r>
      <w:r>
        <w:rPr>
          <w:rFonts w:cs="Arial" w:ascii="Arial" w:hAnsi="Arial"/>
          <w:bCs/>
          <w:sz w:val="24"/>
          <w:szCs w:val="24"/>
        </w:rPr>
        <w:t xml:space="preserve"> Efetuar a entrega dos bens/serviços em perfeitas condições, em es-trita observância das especificações deste instrumento, acompanhados das respectivas Notas Ficais Eletrônicas.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8.1.19 - </w:t>
      </w:r>
      <w:r>
        <w:rPr>
          <w:rFonts w:cs="Arial" w:ascii="Arial" w:hAnsi="Arial"/>
          <w:bCs/>
          <w:sz w:val="24"/>
          <w:szCs w:val="24"/>
        </w:rPr>
        <w:t xml:space="preserve">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CISOP:</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Requisitar o fornecimento dos serviços, conforme as necessidades, conferindo o fornecimento e atestando o recebimento dos serviços através do setor responsável pelo acompanhamento e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8.2.3 -</w:t>
      </w:r>
      <w:r>
        <w:rPr>
          <w:rFonts w:cs="Arial" w:ascii="Arial" w:hAnsi="Arial"/>
          <w:bCs/>
          <w:sz w:val="24"/>
          <w:szCs w:val="24"/>
        </w:rPr>
        <w:t xml:space="preserve"> Solicitar a substituição dos serviços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8.2.4 -</w:t>
      </w:r>
      <w:r>
        <w:rPr>
          <w:rFonts w:cs="Arial" w:ascii="Arial" w:hAnsi="Arial"/>
          <w:bCs/>
          <w:sz w:val="24"/>
          <w:szCs w:val="24"/>
        </w:rPr>
        <w:t xml:space="preserve">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8.2.5 -</w:t>
      </w:r>
      <w:r>
        <w:rPr>
          <w:rFonts w:cs="Arial" w:ascii="Arial" w:hAnsi="Arial"/>
          <w:bCs/>
          <w:sz w:val="24"/>
          <w:szCs w:val="24"/>
        </w:rPr>
        <w:t xml:space="preserve">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8.2.6 -</w:t>
      </w:r>
      <w:r>
        <w:rPr>
          <w:rFonts w:cs="Arial" w:ascii="Arial" w:hAnsi="Arial"/>
          <w:bCs/>
          <w:sz w:val="24"/>
          <w:szCs w:val="24"/>
        </w:rPr>
        <w:t xml:space="preserve"> 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8.2.7 - </w:t>
      </w:r>
      <w:r>
        <w:rPr>
          <w:rFonts w:cs="Arial" w:ascii="Arial" w:hAnsi="Arial"/>
          <w:bCs/>
          <w:sz w:val="24"/>
          <w:szCs w:val="24"/>
        </w:rPr>
        <w:t xml:space="preserve">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8.2.8 -</w:t>
      </w:r>
      <w:r>
        <w:rPr>
          <w:rFonts w:cs="Arial" w:ascii="Arial" w:hAnsi="Arial"/>
          <w:bCs/>
          <w:sz w:val="24"/>
          <w:szCs w:val="24"/>
        </w:rPr>
        <w:t xml:space="preserve">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3</w:t>
      </w:r>
      <w:r>
        <w:rPr>
          <w:rFonts w:cs="Arial" w:ascii="Arial" w:hAnsi="Arial"/>
          <w:b w:val="false"/>
          <w:bCs w:val="false"/>
          <w:sz w:val="24"/>
          <w:szCs w:val="24"/>
        </w:rPr>
        <w:t>/2023,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09 de fevereiro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STEFANY CARDOSO VASQUES DE SOUZA</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JESSICA RODRIGUES DE SOUZA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w:t>
      </w:r>
      <w:r>
        <w:rPr>
          <w:rFonts w:cs="Arial" w:ascii="Arial" w:hAnsi="Arial"/>
          <w:bCs/>
          <w:sz w:val="24"/>
          <w:szCs w:val="24"/>
        </w:rPr>
        <w:t xml:space="preserve"> CONTRATO</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8">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170</TotalTime>
  <Application>LibreOffice/6.4.4.2$Windows_X86_64 LibreOffice_project/3d775be2011f3886db32dfd395a6a6d1ca2630ff</Application>
  <Pages>14</Pages>
  <Words>4546</Words>
  <Characters>25075</Characters>
  <CharactersWithSpaces>29784</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2023-02-09T14:53:24Z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